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sz w:val="32"/>
          <w:szCs w:val="32"/>
        </w:rPr>
      </w:pPr>
      <w:r>
        <w:rPr>
          <w:rFonts w:hint="eastAsia" w:ascii="方正小标宋简体" w:hAnsi="华文中宋" w:eastAsia="方正小标宋简体"/>
          <w:sz w:val="32"/>
          <w:szCs w:val="32"/>
        </w:rPr>
        <w:t>山西省爱国拥军促进会会员单位拥军承诺</w:t>
      </w:r>
    </w:p>
    <w:p>
      <w:pPr>
        <w:jc w:val="center"/>
        <w:rPr>
          <w:rFonts w:ascii="楷体_GB2312" w:eastAsia="楷体_GB2312"/>
          <w:sz w:val="24"/>
        </w:rPr>
      </w:pPr>
      <w:r>
        <w:rPr>
          <w:rFonts w:hint="eastAsia" w:ascii="楷体_GB2312" w:eastAsia="楷体_GB2312"/>
          <w:sz w:val="24"/>
        </w:rPr>
        <w:t>——中国建设银行山西省分行</w:t>
      </w:r>
    </w:p>
    <w:p>
      <w:pPr>
        <w:spacing w:line="360" w:lineRule="exact"/>
        <w:ind w:firstLine="420" w:firstLineChars="200"/>
        <w:jc w:val="center"/>
        <w:rPr>
          <w:rFonts w:ascii="楷体_GB2312" w:eastAsia="楷体_GB2312"/>
        </w:rPr>
      </w:pPr>
    </w:p>
    <w:p>
      <w:pPr>
        <w:spacing w:line="360" w:lineRule="exact"/>
        <w:ind w:firstLine="480" w:firstLineChars="200"/>
        <w:jc w:val="left"/>
        <w:rPr>
          <w:rFonts w:ascii="仿宋_GB2312" w:eastAsia="仿宋_GB2312"/>
          <w:sz w:val="24"/>
        </w:rPr>
      </w:pPr>
      <w:r>
        <w:rPr>
          <w:rFonts w:hint="eastAsia" w:ascii="黑体" w:hAnsi="黑体" w:eastAsia="黑体"/>
          <w:sz w:val="24"/>
        </w:rPr>
        <w:t>单位简介:</w:t>
      </w:r>
      <w:r>
        <w:rPr>
          <w:rFonts w:hint="eastAsia"/>
          <w:sz w:val="18"/>
        </w:rPr>
        <w:t xml:space="preserve"> </w:t>
      </w:r>
      <w:r>
        <w:rPr>
          <w:rFonts w:hint="eastAsia" w:ascii="仿宋_GB2312" w:eastAsia="仿宋_GB2312"/>
          <w:sz w:val="24"/>
        </w:rPr>
        <w:t>中国建设银行股份有限公司山西省分行是中国建设银行股份有限公司下属的一级分行，成立于1954年。该行在中国建设银行总行的领导下，经历了从专业化银行向商业银行的历史性转轨，从小变大，由大到强，始终秉承“中国建设银行，建设现代生活”的理念，以满足客户为已任，以科技为先导，积极开展金融创新，切实履行服务国家、服务社会、服务客户的真挚承诺。我行愿以加入省爱国拥军促进会为契机，积极投身我省爱国拥军事业，在业务范围内竭诚为军人、军属及退役军人服务！</w:t>
      </w:r>
    </w:p>
    <w:p>
      <w:pPr>
        <w:spacing w:line="360" w:lineRule="exact"/>
        <w:ind w:firstLine="420" w:firstLineChars="200"/>
        <w:jc w:val="left"/>
        <w:rPr>
          <w:rFonts w:ascii="楷体_GB2312" w:eastAsia="楷体_GB2312"/>
        </w:rPr>
      </w:pPr>
    </w:p>
    <w:tbl>
      <w:tblPr>
        <w:tblStyle w:val="4"/>
        <w:tblW w:w="1531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728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346" w:type="dxa"/>
            <w:shd w:val="clear" w:color="auto" w:fill="auto"/>
            <w:vAlign w:val="center"/>
          </w:tcPr>
          <w:p>
            <w:pPr>
              <w:jc w:val="center"/>
              <w:rPr>
                <w:rFonts w:ascii="黑体" w:hAnsi="黑体" w:eastAsia="黑体"/>
              </w:rPr>
            </w:pPr>
            <w:r>
              <w:rPr>
                <w:rFonts w:hint="eastAsia" w:ascii="黑体" w:hAnsi="黑体" w:eastAsia="黑体"/>
              </w:rPr>
              <w:t>拥军对象</w:t>
            </w:r>
          </w:p>
        </w:tc>
        <w:tc>
          <w:tcPr>
            <w:tcW w:w="7286" w:type="dxa"/>
            <w:shd w:val="clear" w:color="auto" w:fill="auto"/>
            <w:vAlign w:val="center"/>
          </w:tcPr>
          <w:p>
            <w:pPr>
              <w:jc w:val="center"/>
              <w:rPr>
                <w:rFonts w:ascii="黑体" w:hAnsi="黑体" w:eastAsia="黑体"/>
              </w:rPr>
            </w:pPr>
            <w:r>
              <w:rPr>
                <w:rFonts w:hint="eastAsia" w:ascii="黑体" w:hAnsi="黑体" w:eastAsia="黑体"/>
              </w:rPr>
              <w:t>拥军措施</w:t>
            </w:r>
          </w:p>
        </w:tc>
        <w:tc>
          <w:tcPr>
            <w:tcW w:w="4678" w:type="dxa"/>
            <w:shd w:val="clear" w:color="auto" w:fill="auto"/>
            <w:vAlign w:val="center"/>
          </w:tcPr>
          <w:p>
            <w:pPr>
              <w:jc w:val="center"/>
              <w:rPr>
                <w:rFonts w:ascii="黑体" w:hAnsi="黑体" w:eastAsia="黑体"/>
              </w:rPr>
            </w:pPr>
            <w:r>
              <w:rPr>
                <w:rFonts w:hint="eastAsia" w:ascii="黑体" w:hAnsi="黑体" w:eastAsia="黑体"/>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9" w:hRule="atLeast"/>
        </w:trPr>
        <w:tc>
          <w:tcPr>
            <w:tcW w:w="3346" w:type="dxa"/>
            <w:shd w:val="clear" w:color="auto" w:fill="auto"/>
            <w:vAlign w:val="center"/>
          </w:tcPr>
          <w:p>
            <w:pPr>
              <w:ind w:firstLine="420" w:firstLineChars="200"/>
              <w:rPr>
                <w:rFonts w:ascii="仿宋_GB2312" w:hAnsi="宋体" w:eastAsia="仿宋_GB2312"/>
              </w:rPr>
            </w:pPr>
            <w:r>
              <w:rPr>
                <w:rFonts w:hint="eastAsia" w:ascii="仿宋_GB2312" w:hAnsi="宋体" w:eastAsia="仿宋_GB2312"/>
              </w:rPr>
              <w:t>1.现役、退役军人，并包含：①在军队院校就读的学员；②在军队工作和退休的文职人员、职工；③中国人民武装警察部队官兵、退役人员；④国家综合性消防救援队伍干部、消防员及退役人员。</w:t>
            </w:r>
          </w:p>
          <w:p>
            <w:pPr>
              <w:ind w:firstLine="420" w:firstLineChars="200"/>
              <w:rPr>
                <w:rFonts w:ascii="仿宋_GB2312" w:hAnsi="宋体" w:eastAsia="仿宋_GB2312"/>
              </w:rPr>
            </w:pPr>
            <w:r>
              <w:rPr>
                <w:rFonts w:hint="eastAsia" w:ascii="仿宋_GB2312" w:hAnsi="宋体" w:eastAsia="仿宋_GB2312"/>
              </w:rPr>
              <w:t>2.现役军人近亲属，仅指配偶、子女、父母、配偶父母。</w:t>
            </w:r>
          </w:p>
          <w:p>
            <w:pPr>
              <w:ind w:firstLine="420" w:firstLineChars="200"/>
              <w:rPr>
                <w:rFonts w:ascii="仿宋_GB2312" w:hAnsi="宋体" w:eastAsia="仿宋_GB2312"/>
              </w:rPr>
            </w:pPr>
            <w:r>
              <w:rPr>
                <w:rFonts w:hint="eastAsia" w:ascii="仿宋_GB2312" w:hAnsi="宋体" w:eastAsia="仿宋_GB2312"/>
              </w:rPr>
              <w:t>3.退役军人配偶。</w:t>
            </w:r>
          </w:p>
          <w:p>
            <w:pPr>
              <w:ind w:firstLine="420" w:firstLineChars="200"/>
              <w:rPr>
                <w:rFonts w:ascii="仿宋_GB2312" w:hAnsi="宋体" w:eastAsia="仿宋_GB2312"/>
              </w:rPr>
            </w:pPr>
            <w:r>
              <w:rPr>
                <w:rFonts w:hint="eastAsia" w:ascii="仿宋_GB2312" w:hAnsi="宋体" w:eastAsia="仿宋_GB2312"/>
              </w:rPr>
              <w:t>4.烈士、因公牺牲军人、病故军人遗属。</w:t>
            </w:r>
          </w:p>
          <w:p>
            <w:pPr>
              <w:ind w:firstLine="420" w:firstLineChars="200"/>
              <w:rPr>
                <w:rFonts w:ascii="楷体_GB2312" w:hAnsi="宋体" w:eastAsia="楷体_GB2312"/>
                <w:b/>
              </w:rPr>
            </w:pPr>
            <w:r>
              <w:rPr>
                <w:rFonts w:hint="eastAsia" w:ascii="仿宋_GB2312" w:hAnsi="宋体" w:eastAsia="仿宋_GB2312"/>
              </w:rPr>
              <w:t>说明：拥军措施中除已经明确的特指身份外，拥军对象均为以上所有人员。</w:t>
            </w:r>
          </w:p>
        </w:tc>
        <w:tc>
          <w:tcPr>
            <w:tcW w:w="7286" w:type="dxa"/>
            <w:shd w:val="clear" w:color="auto" w:fill="auto"/>
            <w:vAlign w:val="center"/>
          </w:tcPr>
          <w:p>
            <w:pPr>
              <w:ind w:firstLine="420" w:firstLineChars="200"/>
              <w:rPr>
                <w:rFonts w:ascii="仿宋_GB2312" w:hAnsi="宋体" w:eastAsia="仿宋_GB2312"/>
              </w:rPr>
            </w:pPr>
            <w:r>
              <w:rPr>
                <w:rFonts w:hint="eastAsia" w:ascii="仿宋_GB2312" w:hAnsi="宋体" w:eastAsia="仿宋_GB2312"/>
              </w:rPr>
              <w:t>1.为现役军人提供总行专属理财产品和公积金贷款业务，并积极开展现役军人家庭综合保险权益赠送活动。</w:t>
            </w:r>
          </w:p>
          <w:p>
            <w:pPr>
              <w:ind w:firstLine="420" w:firstLineChars="200"/>
              <w:rPr>
                <w:rFonts w:ascii="仿宋_GB2312" w:hAnsi="宋体" w:eastAsia="仿宋_GB2312"/>
              </w:rPr>
            </w:pPr>
            <w:r>
              <w:rPr>
                <w:rFonts w:hint="eastAsia" w:ascii="仿宋_GB2312" w:hAnsi="宋体" w:eastAsia="仿宋_GB2312"/>
              </w:rPr>
              <w:t>2.在营业网点开通“现役、退役军人优先”绿色通道，优先办理相关业务。</w:t>
            </w:r>
          </w:p>
          <w:p>
            <w:pPr>
              <w:ind w:firstLine="420" w:firstLineChars="200"/>
              <w:rPr>
                <w:rFonts w:ascii="仿宋_GB2312" w:hAnsi="宋体" w:eastAsia="仿宋_GB2312"/>
              </w:rPr>
            </w:pPr>
            <w:r>
              <w:rPr>
                <w:rFonts w:hint="eastAsia" w:ascii="仿宋_GB2312" w:hAnsi="宋体" w:eastAsia="仿宋_GB2312"/>
              </w:rPr>
              <w:t>3.在春节、“八一”建军节等重大节日举办军人主题活动，积极邀请拥军对象参加。</w:t>
            </w:r>
          </w:p>
          <w:p>
            <w:pPr>
              <w:ind w:firstLine="420" w:firstLineChars="200"/>
              <w:rPr>
                <w:rFonts w:ascii="仿宋_GB2312" w:hAnsi="宋体" w:eastAsia="仿宋_GB2312"/>
              </w:rPr>
            </w:pPr>
            <w:r>
              <w:rPr>
                <w:rFonts w:hint="eastAsia" w:ascii="仿宋_GB2312" w:hAnsi="宋体" w:eastAsia="仿宋_GB2312"/>
              </w:rPr>
              <w:t>4.为拥军对象提供“建行大学 金智惠警”系列金融和非金融服务。</w:t>
            </w:r>
          </w:p>
          <w:p>
            <w:pPr>
              <w:ind w:firstLine="420" w:firstLineChars="200"/>
              <w:rPr>
                <w:rFonts w:ascii="仿宋_GB2312" w:hAnsi="宋体" w:eastAsia="仿宋_GB2312"/>
              </w:rPr>
            </w:pPr>
            <w:r>
              <w:rPr>
                <w:rFonts w:hint="eastAsia" w:ascii="仿宋_GB2312" w:hAnsi="宋体" w:eastAsia="仿宋_GB2312"/>
              </w:rPr>
              <w:t>5.为退役军人发放专属银行卡，免新开卡工本费、免账户管理费、免小额账户管理费、免建行系统内取款手续费、转账手续费及各类缴费手续费、免跨行转账手续费、免费开通手机银行、网上银行等电子业务。</w:t>
            </w:r>
          </w:p>
        </w:tc>
        <w:tc>
          <w:tcPr>
            <w:tcW w:w="4678" w:type="dxa"/>
            <w:shd w:val="clear" w:color="auto" w:fill="auto"/>
            <w:vAlign w:val="center"/>
          </w:tcPr>
          <w:p>
            <w:pPr>
              <w:ind w:firstLine="420" w:firstLineChars="200"/>
              <w:rPr>
                <w:rFonts w:ascii="仿宋_GB2312" w:hAnsi="宋体" w:eastAsia="仿宋_GB2312"/>
              </w:rPr>
            </w:pPr>
            <w:r>
              <w:rPr>
                <w:rFonts w:hint="eastAsia" w:ascii="仿宋_GB2312" w:hAnsi="宋体" w:eastAsia="仿宋_GB2312"/>
              </w:rPr>
              <w:t>拥军对象在享受拥军措施时，请出示相关身份证明材料。</w:t>
            </w:r>
          </w:p>
          <w:p>
            <w:pPr>
              <w:ind w:firstLine="420" w:firstLineChars="200"/>
              <w:rPr>
                <w:rFonts w:ascii="仿宋_GB2312" w:hAnsi="宋体" w:eastAsia="仿宋_GB2312"/>
              </w:rPr>
            </w:pPr>
            <w:r>
              <w:rPr>
                <w:rFonts w:hint="eastAsia" w:ascii="仿宋_GB2312" w:hAnsi="宋体" w:eastAsia="仿宋_GB2312"/>
              </w:rPr>
              <w:t>1.现役、退役军人请出示本人证件或单位证明，随行现役军人近亲属、退役军人配偶无需提供证明材料。</w:t>
            </w:r>
          </w:p>
          <w:p>
            <w:pPr>
              <w:ind w:firstLine="420" w:firstLineChars="200"/>
              <w:rPr>
                <w:rFonts w:ascii="仿宋_GB2312" w:hAnsi="宋体" w:eastAsia="仿宋_GB2312"/>
              </w:rPr>
            </w:pPr>
            <w:r>
              <w:rPr>
                <w:rFonts w:hint="eastAsia" w:ascii="仿宋_GB2312" w:hAnsi="宋体" w:eastAsia="仿宋_GB2312"/>
              </w:rPr>
              <w:t>2.现役军人近亲属、退役军人配偶单独享受拥军措施时，请出示相关关系证明材料，如《中国人民解放军军人保障卡》（III型卡）、现役（退役）军人证件或复印件、结婚证、出生证明、单位（社区）证明等。</w:t>
            </w:r>
          </w:p>
          <w:p>
            <w:pPr>
              <w:ind w:firstLine="420" w:firstLineChars="200"/>
              <w:rPr>
                <w:rFonts w:ascii="仿宋_GB2312" w:hAnsi="宋体" w:eastAsia="仿宋_GB2312"/>
              </w:rPr>
            </w:pPr>
            <w:r>
              <w:rPr>
                <w:rFonts w:hint="eastAsia" w:ascii="仿宋_GB2312" w:hAnsi="宋体" w:eastAsia="仿宋_GB2312"/>
              </w:rPr>
              <w:t>3.烈士、因公牺牲军人、病故军人遗属请出示相关证明书及关系证明材料。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310" w:type="dxa"/>
            <w:gridSpan w:val="3"/>
            <w:shd w:val="clear" w:color="auto" w:fill="auto"/>
            <w:vAlign w:val="center"/>
          </w:tcPr>
          <w:p>
            <w:pPr>
              <w:ind w:firstLine="840" w:firstLineChars="400"/>
              <w:rPr>
                <w:rFonts w:hint="default" w:ascii="仿宋_GB2312" w:hAnsi="宋体" w:eastAsia="仿宋_GB2312"/>
                <w:color w:val="auto"/>
                <w:lang w:val="en-US" w:eastAsia="zh-CN"/>
              </w:rPr>
            </w:pPr>
            <w:r>
              <w:rPr>
                <w:rFonts w:hint="eastAsia" w:ascii="黑体" w:hAnsi="黑体" w:eastAsia="黑体"/>
                <w:color w:val="auto"/>
              </w:rPr>
              <w:t>咨询热线：</w:t>
            </w:r>
            <w:r>
              <w:rPr>
                <w:rFonts w:hint="eastAsia" w:ascii="仿宋_GB2312" w:hAnsi="宋体" w:eastAsia="仿宋_GB2312"/>
                <w:color w:val="auto"/>
              </w:rPr>
              <w:t xml:space="preserve"> 0351-4957636  </w:t>
            </w:r>
            <w:r>
              <w:rPr>
                <w:rFonts w:hint="eastAsia" w:ascii="仿宋_GB2312" w:hAnsi="宋体" w:eastAsia="仿宋_GB2312"/>
                <w:color w:val="auto"/>
                <w:lang w:val="en-US" w:eastAsia="zh-CN"/>
              </w:rPr>
              <w:t>高洁</w:t>
            </w:r>
          </w:p>
          <w:p>
            <w:pPr>
              <w:ind w:firstLine="840" w:firstLineChars="400"/>
              <w:rPr>
                <w:rFonts w:ascii="仿宋_GB2312" w:hAnsi="宋体" w:eastAsia="仿宋_GB2312"/>
              </w:rPr>
            </w:pPr>
            <w:r>
              <w:rPr>
                <w:rFonts w:hint="eastAsia" w:ascii="黑体" w:hAnsi="黑体" w:eastAsia="黑体"/>
                <w:color w:val="auto"/>
              </w:rPr>
              <w:t>服务地址：山西省太原市迎泽大街126号</w:t>
            </w:r>
          </w:p>
        </w:tc>
      </w:tr>
    </w:tbl>
    <w:p>
      <w:bookmarkStart w:id="0" w:name="_GoBack"/>
      <w:bookmarkEnd w:id="0"/>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022"/>
    <w:rsid w:val="00002ED1"/>
    <w:rsid w:val="0000372F"/>
    <w:rsid w:val="0002716F"/>
    <w:rsid w:val="000466A7"/>
    <w:rsid w:val="00054856"/>
    <w:rsid w:val="0007089F"/>
    <w:rsid w:val="000748A1"/>
    <w:rsid w:val="000761A5"/>
    <w:rsid w:val="000773F2"/>
    <w:rsid w:val="00077B8D"/>
    <w:rsid w:val="000865CC"/>
    <w:rsid w:val="000A07FE"/>
    <w:rsid w:val="000A3A95"/>
    <w:rsid w:val="000B4843"/>
    <w:rsid w:val="000B6655"/>
    <w:rsid w:val="000D02DB"/>
    <w:rsid w:val="000D0EA7"/>
    <w:rsid w:val="000D7E0D"/>
    <w:rsid w:val="000E0E03"/>
    <w:rsid w:val="000E42C0"/>
    <w:rsid w:val="001220FC"/>
    <w:rsid w:val="00124B4F"/>
    <w:rsid w:val="00134488"/>
    <w:rsid w:val="001435F7"/>
    <w:rsid w:val="001530E3"/>
    <w:rsid w:val="00165432"/>
    <w:rsid w:val="00166E07"/>
    <w:rsid w:val="00170213"/>
    <w:rsid w:val="001732C5"/>
    <w:rsid w:val="00173621"/>
    <w:rsid w:val="00175E94"/>
    <w:rsid w:val="00183B18"/>
    <w:rsid w:val="00186653"/>
    <w:rsid w:val="001A7ED6"/>
    <w:rsid w:val="001C495A"/>
    <w:rsid w:val="001C70E1"/>
    <w:rsid w:val="001D0F5D"/>
    <w:rsid w:val="001D1547"/>
    <w:rsid w:val="001D189C"/>
    <w:rsid w:val="001D7DDC"/>
    <w:rsid w:val="001E52FA"/>
    <w:rsid w:val="001F5D81"/>
    <w:rsid w:val="001F78D4"/>
    <w:rsid w:val="001F7D1C"/>
    <w:rsid w:val="00213C88"/>
    <w:rsid w:val="00236E2B"/>
    <w:rsid w:val="00255066"/>
    <w:rsid w:val="00272A81"/>
    <w:rsid w:val="00276AE7"/>
    <w:rsid w:val="002808AC"/>
    <w:rsid w:val="00282720"/>
    <w:rsid w:val="00284EBC"/>
    <w:rsid w:val="002A127A"/>
    <w:rsid w:val="002A5386"/>
    <w:rsid w:val="002B04FF"/>
    <w:rsid w:val="002B6910"/>
    <w:rsid w:val="002E1CC9"/>
    <w:rsid w:val="002E657E"/>
    <w:rsid w:val="002F0425"/>
    <w:rsid w:val="002F3D91"/>
    <w:rsid w:val="0032174D"/>
    <w:rsid w:val="003269A8"/>
    <w:rsid w:val="003329CF"/>
    <w:rsid w:val="00336413"/>
    <w:rsid w:val="00340C75"/>
    <w:rsid w:val="00341908"/>
    <w:rsid w:val="00351E59"/>
    <w:rsid w:val="00362855"/>
    <w:rsid w:val="003759EF"/>
    <w:rsid w:val="00381088"/>
    <w:rsid w:val="00390C25"/>
    <w:rsid w:val="003A16BC"/>
    <w:rsid w:val="003A4685"/>
    <w:rsid w:val="003A7BA3"/>
    <w:rsid w:val="003B0745"/>
    <w:rsid w:val="003C1038"/>
    <w:rsid w:val="003C236A"/>
    <w:rsid w:val="003D52BA"/>
    <w:rsid w:val="003D638F"/>
    <w:rsid w:val="003F0A65"/>
    <w:rsid w:val="004114B8"/>
    <w:rsid w:val="004225A6"/>
    <w:rsid w:val="00425074"/>
    <w:rsid w:val="00441A38"/>
    <w:rsid w:val="00472A92"/>
    <w:rsid w:val="00482FA0"/>
    <w:rsid w:val="00483B38"/>
    <w:rsid w:val="004D0628"/>
    <w:rsid w:val="004D582E"/>
    <w:rsid w:val="004F176F"/>
    <w:rsid w:val="004F66D6"/>
    <w:rsid w:val="00506B3F"/>
    <w:rsid w:val="00523FB5"/>
    <w:rsid w:val="005263AB"/>
    <w:rsid w:val="005613E5"/>
    <w:rsid w:val="00567FE5"/>
    <w:rsid w:val="005704ED"/>
    <w:rsid w:val="00577E77"/>
    <w:rsid w:val="00581597"/>
    <w:rsid w:val="005A1956"/>
    <w:rsid w:val="005C28A3"/>
    <w:rsid w:val="005D199F"/>
    <w:rsid w:val="005D671B"/>
    <w:rsid w:val="005E21D6"/>
    <w:rsid w:val="00607275"/>
    <w:rsid w:val="00610CDF"/>
    <w:rsid w:val="00611B8C"/>
    <w:rsid w:val="006200CE"/>
    <w:rsid w:val="006412F4"/>
    <w:rsid w:val="00645E60"/>
    <w:rsid w:val="0066282E"/>
    <w:rsid w:val="006634C8"/>
    <w:rsid w:val="00665868"/>
    <w:rsid w:val="006A009F"/>
    <w:rsid w:val="006A02AC"/>
    <w:rsid w:val="006A0D99"/>
    <w:rsid w:val="006D092B"/>
    <w:rsid w:val="006D4A8D"/>
    <w:rsid w:val="006D5FD8"/>
    <w:rsid w:val="006E23B9"/>
    <w:rsid w:val="006E49FC"/>
    <w:rsid w:val="006E5C5A"/>
    <w:rsid w:val="006F38EE"/>
    <w:rsid w:val="006F50F3"/>
    <w:rsid w:val="0071412E"/>
    <w:rsid w:val="007168C0"/>
    <w:rsid w:val="0075083D"/>
    <w:rsid w:val="00762201"/>
    <w:rsid w:val="00771B1E"/>
    <w:rsid w:val="007C56E7"/>
    <w:rsid w:val="007D4C6D"/>
    <w:rsid w:val="007E7DE2"/>
    <w:rsid w:val="00807840"/>
    <w:rsid w:val="008156FF"/>
    <w:rsid w:val="00822CED"/>
    <w:rsid w:val="008239F4"/>
    <w:rsid w:val="00833A60"/>
    <w:rsid w:val="008654FB"/>
    <w:rsid w:val="0088004B"/>
    <w:rsid w:val="00881226"/>
    <w:rsid w:val="00881842"/>
    <w:rsid w:val="00887F1C"/>
    <w:rsid w:val="008A4BF2"/>
    <w:rsid w:val="008C01E5"/>
    <w:rsid w:val="008C3F3A"/>
    <w:rsid w:val="008C5FD6"/>
    <w:rsid w:val="008E46C6"/>
    <w:rsid w:val="00900099"/>
    <w:rsid w:val="00913FD4"/>
    <w:rsid w:val="009275D1"/>
    <w:rsid w:val="009339C0"/>
    <w:rsid w:val="00951F11"/>
    <w:rsid w:val="00956025"/>
    <w:rsid w:val="0096391C"/>
    <w:rsid w:val="009656F0"/>
    <w:rsid w:val="009706F3"/>
    <w:rsid w:val="009716E4"/>
    <w:rsid w:val="009912F6"/>
    <w:rsid w:val="009B560D"/>
    <w:rsid w:val="009C1811"/>
    <w:rsid w:val="009C4BA6"/>
    <w:rsid w:val="009D6A6C"/>
    <w:rsid w:val="009E0918"/>
    <w:rsid w:val="009E58FC"/>
    <w:rsid w:val="009E72CC"/>
    <w:rsid w:val="00A01B97"/>
    <w:rsid w:val="00A033A3"/>
    <w:rsid w:val="00A152EC"/>
    <w:rsid w:val="00A1580C"/>
    <w:rsid w:val="00A174F1"/>
    <w:rsid w:val="00A23556"/>
    <w:rsid w:val="00A50EB5"/>
    <w:rsid w:val="00A50F4A"/>
    <w:rsid w:val="00A51027"/>
    <w:rsid w:val="00A56729"/>
    <w:rsid w:val="00A810C9"/>
    <w:rsid w:val="00A81813"/>
    <w:rsid w:val="00A83C6E"/>
    <w:rsid w:val="00A85022"/>
    <w:rsid w:val="00A86784"/>
    <w:rsid w:val="00A86E8F"/>
    <w:rsid w:val="00A87F96"/>
    <w:rsid w:val="00A90CB6"/>
    <w:rsid w:val="00AA7D73"/>
    <w:rsid w:val="00AB3A12"/>
    <w:rsid w:val="00AB4DB4"/>
    <w:rsid w:val="00AB736B"/>
    <w:rsid w:val="00AD457E"/>
    <w:rsid w:val="00B07533"/>
    <w:rsid w:val="00B226EB"/>
    <w:rsid w:val="00B415E6"/>
    <w:rsid w:val="00B4266A"/>
    <w:rsid w:val="00B43791"/>
    <w:rsid w:val="00B60128"/>
    <w:rsid w:val="00B63F39"/>
    <w:rsid w:val="00B6670C"/>
    <w:rsid w:val="00B90AD6"/>
    <w:rsid w:val="00BA1E9C"/>
    <w:rsid w:val="00BC6A95"/>
    <w:rsid w:val="00BD00D9"/>
    <w:rsid w:val="00BE5A18"/>
    <w:rsid w:val="00C1534A"/>
    <w:rsid w:val="00C17365"/>
    <w:rsid w:val="00C30B22"/>
    <w:rsid w:val="00C35A3F"/>
    <w:rsid w:val="00C41847"/>
    <w:rsid w:val="00C60C0F"/>
    <w:rsid w:val="00C6445E"/>
    <w:rsid w:val="00C83434"/>
    <w:rsid w:val="00C940AA"/>
    <w:rsid w:val="00CA322E"/>
    <w:rsid w:val="00CB1FF7"/>
    <w:rsid w:val="00CB4FD9"/>
    <w:rsid w:val="00CE1B7B"/>
    <w:rsid w:val="00CE55EC"/>
    <w:rsid w:val="00CF0759"/>
    <w:rsid w:val="00CF1A34"/>
    <w:rsid w:val="00CF4AF7"/>
    <w:rsid w:val="00CF5882"/>
    <w:rsid w:val="00D04F1B"/>
    <w:rsid w:val="00D31B85"/>
    <w:rsid w:val="00D323A5"/>
    <w:rsid w:val="00D35AE8"/>
    <w:rsid w:val="00D66D05"/>
    <w:rsid w:val="00D76243"/>
    <w:rsid w:val="00D76352"/>
    <w:rsid w:val="00D87D6F"/>
    <w:rsid w:val="00D96EB9"/>
    <w:rsid w:val="00DC7FC7"/>
    <w:rsid w:val="00DD561A"/>
    <w:rsid w:val="00E17D9C"/>
    <w:rsid w:val="00E36E81"/>
    <w:rsid w:val="00E53010"/>
    <w:rsid w:val="00E82EDF"/>
    <w:rsid w:val="00E851D5"/>
    <w:rsid w:val="00E9661B"/>
    <w:rsid w:val="00E96A2B"/>
    <w:rsid w:val="00EB7ED2"/>
    <w:rsid w:val="00EF2D31"/>
    <w:rsid w:val="00EF52BF"/>
    <w:rsid w:val="00F02C61"/>
    <w:rsid w:val="00F106C4"/>
    <w:rsid w:val="00F16ED7"/>
    <w:rsid w:val="00F16FF2"/>
    <w:rsid w:val="00F17C31"/>
    <w:rsid w:val="00F20FF6"/>
    <w:rsid w:val="00F219A1"/>
    <w:rsid w:val="00F219F4"/>
    <w:rsid w:val="00F23A4D"/>
    <w:rsid w:val="00F3225C"/>
    <w:rsid w:val="00F43AB3"/>
    <w:rsid w:val="00F444AC"/>
    <w:rsid w:val="00F633A7"/>
    <w:rsid w:val="00F70E50"/>
    <w:rsid w:val="00F856EA"/>
    <w:rsid w:val="00FB0D3C"/>
    <w:rsid w:val="00FB142E"/>
    <w:rsid w:val="00FB4776"/>
    <w:rsid w:val="00FC6833"/>
    <w:rsid w:val="00FC717D"/>
    <w:rsid w:val="00FD3124"/>
    <w:rsid w:val="00FE57C3"/>
    <w:rsid w:val="00FE7B16"/>
    <w:rsid w:val="00FF064F"/>
    <w:rsid w:val="00FF6B9A"/>
    <w:rsid w:val="5B962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C23A47-0382-42D3-BC3C-AE7B39757D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140</Words>
  <Characters>802</Characters>
  <Lines>6</Lines>
  <Paragraphs>1</Paragraphs>
  <TotalTime>8</TotalTime>
  <ScaleCrop>false</ScaleCrop>
  <LinksUpToDate>false</LinksUpToDate>
  <CharactersWithSpaces>941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2021-07-01T08:25:00Z</dcterms:created>
  <dc:creator>AutoBVT</dc:creator>
  <cp:lastModifiedBy>抛物线</cp:lastModifiedBy>
  <dcterms:modified xsi:type="dcterms:W3CDTF">2021-07-03T09:10:31Z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